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10" w:lineRule="exact"/>
        <w:jc w:val="center"/>
        <w:textAlignment w:val="auto"/>
        <w:rPr>
          <w:rFonts w:ascii="楷体" w:eastAsia="楷体" w:hAnsi="楷体" w:hint="eastAsia"/>
          <w:b/>
          <w:sz w:val="21"/>
          <w:szCs w:val="21"/>
        </w:rPr>
      </w:pPr>
      <w:r>
        <w:rPr>
          <w:rFonts w:ascii="楷体" w:eastAsia="楷体" w:hAnsi="楷体" w:hint="eastAsia"/>
          <w:b/>
          <w:sz w:val="28"/>
          <w:szCs w:val="28"/>
        </w:rPr>
        <w:t xml:space="preserve">苏银理财有限责任公司投资者权益须知</w:t>
      </w:r>
    </w:p>
    <w:p>
      <w:pPr>
        <w:pStyle w:val="Normal(Web)"/>
        <w:keepNext w:val="0"/>
        <w:keepLines w:val="0"/>
        <w:pageBreakBefore w:val="0"/>
        <w:widowControl/>
        <w:kinsoku/>
        <w:wordWrap/>
        <w:overflowPunct/>
        <w:topLinePunct w:val="0"/>
        <w:autoSpaceDE/>
        <w:autoSpaceDN/>
        <w:bidi w:val="0"/>
        <w:adjustRightInd/>
        <w:snapToGrid/>
        <w:spacing w:before="0" w:beforeAutospacing="0" w:after="157" w:afterLines="50" w:afterAutospacing="0" w:line="310" w:lineRule="exact"/>
        <w:jc w:val="center"/>
        <w:textAlignment w:val="auto"/>
        <w:rPr>
          <w:rFonts w:ascii="楷体" w:eastAsia="楷体" w:hAnsi="楷体" w:hint="eastAsia"/>
          <w:b/>
          <w:sz w:val="24"/>
          <w:szCs w:val="24"/>
        </w:rPr>
      </w:pPr>
      <w:r>
        <w:rPr>
          <w:rFonts w:ascii="楷体" w:eastAsia="楷体" w:hAnsi="楷体" w:hint="eastAsia"/>
          <w:b/>
          <w:sz w:val="24"/>
          <w:szCs w:val="24"/>
        </w:rPr>
        <w:t xml:space="preserve">理财非存款、产品有风险、投资须谨慎</w:t>
      </w:r>
    </w:p>
    <w:p>
      <w:pPr>
        <w:pStyle w:val="Normal(Web)"/>
        <w:keepNext w:val="0"/>
        <w:keepLines w:val="0"/>
        <w:pageBreakBefore w:val="0"/>
        <w:kinsoku/>
        <w:wordWrap/>
        <w:overflowPunct/>
        <w:topLinePunct w:val="0"/>
        <w:bidi w:val="0"/>
        <w:snapToGrid/>
        <w:spacing w:before="0" w:beforeAutospacing="0" w:after="0" w:afterAutospacing="0" w:line="310" w:lineRule="exact"/>
        <w:jc w:val="center"/>
        <w:textAlignment w:val="auto"/>
        <w:rPr>
          <w:rFonts w:ascii="楷体" w:eastAsia="楷体" w:hAnsi="楷体" w:cs="浠垮畫" w:hint="eastAsia"/>
          <w:sz w:val="21"/>
          <w:szCs w:val="21"/>
          <w:lang w:val="en-US" w:eastAsia="zh-CN"/>
        </w:rPr>
      </w:pPr>
      <w:r>
        <w:rPr>
          <w:rFonts w:ascii="楷体" w:eastAsia="楷体" w:hAnsi="楷体" w:cs="浠垮畫" w:hint="eastAsia"/>
          <w:sz w:val="21"/>
          <w:szCs w:val="21"/>
        </w:rPr>
        <w:t xml:space="preserve">（适用于代销渠道）</w:t>
      </w:r>
    </w:p>
    <w:p>
      <w:pPr>
        <w:keepNext w:val="0"/>
        <w:keepLines w:val="0"/>
        <w:pageBreakBefore w:val="0"/>
        <w:kinsoku/>
        <w:wordWrap/>
        <w:overflowPunct/>
        <w:topLinePunct w:val="0"/>
        <w:autoSpaceDE w:val="0"/>
        <w:autoSpaceDN w:val="0"/>
        <w:bidi w:val="0"/>
        <w:adjustRightInd w:val="0"/>
        <w:snapToGrid/>
        <w:spacing w:line="310" w:lineRule="exact"/>
        <w:jc w:val="left"/>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尊敬的投资者：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感谢您购买苏银理财有限责任公司(以下简称“苏银理财”)发行管理的理财产品，</w:t>
      </w:r>
      <w:r>
        <w:rPr>
          <w:rFonts w:ascii="楷体" w:eastAsia="楷体" w:hAnsi="楷体" w:cs="浠垮畫"/>
          <w:b/>
          <w:kern w:val="0"/>
          <w:sz w:val="21"/>
          <w:szCs w:val="21"/>
          <w:u w:val="single"/>
        </w:rPr>
        <w:t xml:space="preserve">理财非存款、产品有风险、投资须谨慎</w:t>
      </w:r>
      <w:r>
        <w:rPr>
          <w:rFonts w:ascii="楷体" w:eastAsia="楷体" w:hAnsi="楷体" w:cs="浠垮畫" w:hint="eastAsia"/>
          <w:b/>
          <w:kern w:val="0"/>
          <w:sz w:val="21"/>
          <w:szCs w:val="21"/>
          <w:u w:val="single"/>
        </w:rPr>
        <w:t xml:space="preserve">。苏银理财对本产品的理财本金和收益不提供保证承诺，您的本金和收益可能因市场变动而蒙受相应损失，您应充分认识投资风险，谨慎投资。</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kern w:val="0"/>
          <w:sz w:val="21"/>
          <w:szCs w:val="21"/>
        </w:rPr>
      </w:pPr>
      <w:r>
        <w:rPr>
          <w:rFonts w:ascii="楷体" w:eastAsia="楷体" w:hAnsi="楷体" w:cs="浠垮畫" w:hint="eastAsia"/>
          <w:b/>
          <w:kern w:val="0"/>
          <w:sz w:val="21"/>
          <w:szCs w:val="21"/>
          <w:u w:val="single"/>
        </w:rPr>
        <w:t xml:space="preserve">本产品由苏银理财发行和管理，代销机构负责您与苏银理财之间的资金划转工作，不承担产品投资</w:t>
      </w:r>
      <w:r>
        <w:rPr>
          <w:rFonts w:ascii="楷体" w:eastAsia="楷体" w:hAnsi="楷体" w:cs="浠垮畫" w:hint="eastAsia"/>
          <w:b/>
          <w:kern w:val="0"/>
          <w:sz w:val="21"/>
          <w:szCs w:val="21"/>
          <w:u w:val="single"/>
          <w:lang w:val="en-US" w:eastAsia="zh-CN"/>
        </w:rPr>
        <w:t xml:space="preserve">和</w:t>
      </w:r>
      <w:r>
        <w:rPr>
          <w:rFonts w:ascii="楷体" w:eastAsia="楷体" w:hAnsi="楷体" w:cs="浠垮畫" w:hint="eastAsia"/>
          <w:b/>
          <w:kern w:val="0"/>
          <w:sz w:val="21"/>
          <w:szCs w:val="21"/>
          <w:u w:val="single"/>
        </w:rPr>
        <w:t xml:space="preserve">兑付责任。</w:t>
      </w:r>
      <w:r>
        <w:rPr>
          <w:rFonts w:ascii="楷体" w:eastAsia="楷体" w:hAnsi="楷体" w:cs="浠垮畫" w:hint="eastAsia"/>
          <w:kern w:val="0"/>
          <w:sz w:val="21"/>
          <w:szCs w:val="21"/>
        </w:rPr>
        <w:t xml:space="preserve">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bookmarkStart w:id="0" w:name="_GoBack"/>
      <w:bookmarkEnd w:id="0"/>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rPr>
      </w:pPr>
      <w:r>
        <w:rPr>
          <w:rFonts w:ascii="楷体" w:eastAsia="楷体" w:hAnsi="楷体" w:cs="浠垮畫"/>
          <w:b/>
          <w:kern w:val="0"/>
          <w:sz w:val="21"/>
          <w:szCs w:val="21"/>
        </w:rPr>
        <w:t xml:space="preserve">一、代销机构代理销售苏银理财产品的流程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w:t>
      </w:r>
      <w:r>
        <w:rPr>
          <w:rFonts w:ascii="楷体" w:eastAsia="楷体" w:hAnsi="楷体" w:cs="浠垮畫" w:hint="eastAsia"/>
          <w:kern w:val="0"/>
          <w:sz w:val="21"/>
          <w:szCs w:val="21"/>
          <w:lang w:val="en-US" w:eastAsia="zh-CN"/>
        </w:rPr>
        <w:t xml:space="preserve">普通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投资者首次购买理财产品需进行开户，可持有效证件</w:t>
      </w:r>
      <w:r>
        <w:rPr>
          <w:rFonts w:ascii="楷体" w:eastAsia="楷体" w:hAnsi="楷体" w:cs="楷体" w:hint="eastAsia"/>
          <w:kern w:val="0"/>
          <w:sz w:val="21"/>
          <w:szCs w:val="21"/>
          <w:lang w:val="en-US" w:eastAsia="zh-CN"/>
        </w:rPr>
        <w:t xml:space="preserve">和相关材料（具体以代销机构所需材料为准）</w:t>
      </w:r>
      <w:r>
        <w:rPr>
          <w:rFonts w:ascii="楷体" w:eastAsia="楷体" w:hAnsi="楷体" w:cs="楷体" w:hint="eastAsia"/>
          <w:kern w:val="0"/>
          <w:sz w:val="21"/>
          <w:szCs w:val="21"/>
        </w:rPr>
        <w:t xml:space="preserve">至代销机构营业网点或登录代销机构电子渠道填写《风险承受能力测评问卷》，开立苏银理财有限责任公司理财账户，签字确认开户申请并取得开户凭证。开户完成后可按以下购买流程购买理财产品。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w:t>
      </w:r>
      <w:r>
        <w:rPr>
          <w:rFonts w:ascii="楷体" w:eastAsia="楷体" w:hAnsi="楷体" w:cs="浠垮畫"/>
          <w:kern w:val="0"/>
          <w:sz w:val="21"/>
          <w:szCs w:val="21"/>
        </w:rPr>
        <w:t xml:space="preserve">）</w:t>
      </w:r>
      <w:r>
        <w:rPr>
          <w:rFonts w:ascii="楷体" w:eastAsia="楷体" w:hAnsi="楷体" w:cs="浠垮畫" w:hint="eastAsia"/>
          <w:kern w:val="0"/>
          <w:sz w:val="21"/>
          <w:szCs w:val="21"/>
          <w:lang w:val="en-US" w:eastAsia="zh-CN"/>
        </w:rPr>
        <w:t xml:space="preserve">专业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专业</w:t>
      </w:r>
      <w:r>
        <w:rPr>
          <w:rFonts w:ascii="楷体" w:eastAsia="楷体" w:hAnsi="楷体" w:cs="楷体" w:hint="eastAsia"/>
          <w:kern w:val="0"/>
          <w:sz w:val="21"/>
          <w:szCs w:val="21"/>
        </w:rPr>
        <w:t xml:space="preserve">投资者首次购买理财产品需进行开户，可持有效</w:t>
      </w:r>
      <w:r>
        <w:rPr>
          <w:rFonts w:ascii="楷体" w:eastAsia="楷体" w:hAnsi="楷体" w:cs="楷体" w:hint="eastAsia"/>
          <w:kern w:val="0"/>
          <w:sz w:val="21"/>
          <w:szCs w:val="21"/>
          <w:lang w:val="en-US" w:eastAsia="zh-CN"/>
        </w:rPr>
        <w:t xml:space="preserve">证件和相关材料（具体以代销机构所需材料为准）</w:t>
      </w:r>
      <w:r>
        <w:rPr>
          <w:rFonts w:ascii="楷体" w:eastAsia="楷体" w:hAnsi="楷体" w:cs="楷体" w:hint="eastAsia"/>
          <w:kern w:val="0"/>
          <w:sz w:val="21"/>
          <w:szCs w:val="21"/>
        </w:rPr>
        <w:t xml:space="preserve">至代销机构营业网点或登录代销机构电子渠道开立苏银理财有限责任公司理财账户，签字确认开户申请并取得开户凭证。开户完成后可按以下购买流程购买理财产品。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318" w:firstLineChars="151"/>
        <w:textAlignment w:val="auto"/>
        <w:rPr>
          <w:rFonts w:ascii="楷体" w:eastAsia="楷体" w:hAnsi="楷体" w:cs="浠垮畫" w:hint="default"/>
          <w:b/>
          <w:kern w:val="0"/>
          <w:sz w:val="21"/>
          <w:szCs w:val="21"/>
          <w:lang w:val="en-US" w:eastAsia="zh-CN"/>
        </w:rPr>
      </w:pPr>
      <w:r>
        <w:rPr>
          <w:rFonts w:ascii="楷体" w:eastAsia="楷体" w:hAnsi="楷体" w:cs="浠垮畫" w:hint="eastAsia"/>
          <w:b/>
          <w:kern w:val="0"/>
          <w:sz w:val="21"/>
          <w:szCs w:val="21"/>
        </w:rPr>
        <w:t xml:space="preserve">二、产品内部风险评级</w:t>
      </w:r>
      <w:r>
        <w:rPr>
          <w:rFonts w:ascii="楷体" w:eastAsia="楷体" w:hAnsi="楷体" w:cs="浠垮畫" w:hint="eastAsia"/>
          <w:b/>
          <w:kern w:val="0"/>
          <w:sz w:val="21"/>
          <w:szCs w:val="21"/>
          <w:lang w:val="en-US" w:eastAsia="zh-CN"/>
        </w:rPr>
        <w:t xml:space="preserve">与投资者类型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kern w:val="0"/>
          <w:sz w:val="21"/>
          <w:szCs w:val="21"/>
        </w:rPr>
        <w:t xml:space="preserve">苏银理财发行的理财产品内部风险评级共分为五级：</w:t>
      </w:r>
      <w:r>
        <w:rPr>
          <w:rFonts w:ascii="楷体" w:eastAsia="楷体" w:hAnsi="楷体" w:cs="浠垮畫" w:hint="eastAsia"/>
          <w:kern w:val="0"/>
          <w:sz w:val="21"/>
          <w:szCs w:val="21"/>
        </w:rPr>
        <w:t xml:space="preserve">★一级（PR1）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r>
        <w:rPr>
          <w:rFonts w:ascii="楷体" w:eastAsia="楷体" w:hAnsi="楷体" w:cs="浠垮畫"/>
          <w:kern w:val="0"/>
          <w:sz w:val="21"/>
          <w:szCs w:val="21"/>
        </w:rPr>
        <w:t xml:space="preserve">。具体分类见下表：</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23"/>
        <w:gridCol w:w="1430"/>
        <w:gridCol w:w="3437"/>
        <w:gridCol w:w="1910"/>
        <w:gridCol w:w="1539"/>
      </w:tblGrid>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172"/>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风险星级</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风险级别</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lang w:val="en-US" w:eastAsia="zh-CN"/>
              </w:rPr>
            </w:pPr>
            <w:r>
              <w:rPr>
                <w:rFonts w:ascii="楷体" w:eastAsia="楷体" w:hAnsi="楷体" w:cs="浠垮畫" w:hint="eastAsia"/>
                <w:kern w:val="0"/>
                <w:sz w:val="21"/>
                <w:szCs w:val="21"/>
                <w:lang w:val="en-US" w:eastAsia="zh-CN"/>
              </w:rPr>
              <w:t xml:space="preserve">产品风险评级说明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适合的投资者类别</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适合投资策略</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11"/>
          <w:jc w:val="center"/>
        </w:trPr>
        <w:tc>
          <w:tcPr>
            <w:tcW w:w="1323"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一级（PR1）</w:t>
            </w:r>
          </w:p>
        </w:tc>
        <w:tc>
          <w:tcPr>
            <w:tcW w:w="3437"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总体风险程度低，净值波动小，本金遭受损失的可能性低。</w:t>
            </w:r>
          </w:p>
        </w:tc>
        <w:tc>
          <w:tcPr>
            <w:tcW w:w="191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低风险型</w:t>
            </w:r>
          </w:p>
        </w:tc>
        <w:tc>
          <w:tcPr>
            <w:tcW w:w="1539"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风险控制</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二级（PR2）</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总体风险程度较低，净值波动较小，本金遭受损失的可能性较低。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中低风险型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稳健发展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三级（PR3）</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总体风险程度中等，净值波动中等，本金遭受损失的可能性中等。</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均衡发展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四级（PR4）</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总体风险程度较高，净值波动较大，本金遭受损失的可能性较高。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积极成长</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7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五级（PR5）</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总体风险程度高，净值波动大，本金遭受损失的可能性高。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风险承受</w:t>
            </w:r>
          </w:p>
        </w:tc>
      </w:tr>
    </w:tbl>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firstLine="371"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投资者特征：在任何投资中，承担较小的风险取得相对稳定的收益是客户的主要目标，通常愿意承受略低于市场平均水平的风险。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投资者特征：在任何投资中，客户比较注重长期投资收益。客户的风险承受能力一般，投资产品业绩的波动会对客户产生一定的影响，但通常愿意承受略高于市场平均水平的风险。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投资者特征：在任何投资中，客户通常专注于投资的长期增值，并愿意为此承受较大的风险。短期的投资波动并不会对客户造成大的影响，追求超高的回报才是客户关注的目标。</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三、投资者风险承受能力评估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（一）代销机构负责</w:t>
      </w:r>
      <w:r>
        <w:rPr>
          <w:rFonts w:ascii="楷体" w:eastAsia="楷体" w:hAnsi="楷体" w:cs="浠垮畫" w:hint="eastAsia"/>
          <w:kern w:val="0"/>
          <w:sz w:val="21"/>
          <w:szCs w:val="21"/>
        </w:rPr>
        <w:t xml:space="preserve">代理</w:t>
      </w:r>
      <w:r>
        <w:rPr>
          <w:rFonts w:ascii="楷体" w:eastAsia="楷体" w:hAnsi="楷体" w:cs="浠垮畫"/>
          <w:kern w:val="0"/>
          <w:sz w:val="21"/>
          <w:szCs w:val="21"/>
        </w:rPr>
        <w:t xml:space="preserve">销售工作及投资者适当性评估。</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投资者首次通过代销机构购买苏银理财产品，需要与代销机构签署相关协议，并按照该协议约定在代销机构销售渠道进行风险承受能力评估。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（二）</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投资者风险承受能力评估结果有效期为一年，如风险承受能力评估时效已超过一年，或影响风险承受能力的因素发生变化，请及时完成风险承受能力的重新评估。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sz w:val="21"/>
          <w:szCs w:val="21"/>
        </w:rPr>
      </w:pPr>
      <w:r>
        <w:rPr>
          <w:rFonts w:ascii="楷体" w:eastAsia="楷体" w:hAnsi="楷体" w:cs="浠垮畫"/>
          <w:kern w:val="0"/>
          <w:sz w:val="21"/>
          <w:szCs w:val="21"/>
        </w:rPr>
        <w:t xml:space="preserve">（三）</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投资者首次购买理财产品以及</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投资者超过一年未进行风险承受能力评估或发生可能影响自身风险承受能力的情况，均需进行风险承受能力评估。可至代销机构营业网点或登录电子渠道填写《风险承受能力评测问卷》，在知晓本人</w:t>
      </w:r>
      <w:r>
        <w:rPr>
          <w:rFonts w:ascii="楷体" w:eastAsia="楷体" w:hAnsi="楷体" w:cs="楷体" w:hint="eastAsia"/>
          <w:kern w:val="0"/>
          <w:sz w:val="21"/>
          <w:szCs w:val="21"/>
          <w:lang w:val="en-US" w:eastAsia="zh-CN"/>
        </w:rPr>
        <w:t xml:space="preserve">/本机构</w:t>
      </w:r>
      <w:r>
        <w:rPr>
          <w:rFonts w:ascii="楷体" w:eastAsia="楷体" w:hAnsi="楷体" w:cs="楷体" w:hint="eastAsia"/>
          <w:kern w:val="0"/>
          <w:sz w:val="21"/>
          <w:szCs w:val="21"/>
        </w:rPr>
        <w:t xml:space="preserve">风险评测结果后签字或点击确认。</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（四）风险承受能力评估结果将作为评价</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投资者是否适合购买理财产品的重要因素，风险承受能力评级越高适合购买的理财产品风险评级越高，适合购买的理财产品类型越丰富。</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（五）代销机构在代销过程中，可参考苏银理财的产品风险评级结果，自行判断确定本产品的风险评级，</w:t>
      </w:r>
      <w:r>
        <w:rPr>
          <w:rFonts w:ascii="楷体" w:eastAsia="楷体" w:hAnsi="楷体" w:cs="浠垮畫" w:hint="eastAsia"/>
          <w:kern w:val="0"/>
          <w:sz w:val="21"/>
          <w:szCs w:val="21"/>
        </w:rPr>
        <w:t xml:space="preserve">但代销机构自行确定的产品风险评级不得低于苏银理财的产品风险评级。</w:t>
      </w:r>
      <w:r>
        <w:rPr>
          <w:rFonts w:ascii="楷体" w:eastAsia="楷体" w:hAnsi="楷体" w:cs="宋体" w:hint="eastAsia"/>
          <w:b/>
          <w:spacing w:val="-2"/>
          <w:sz w:val="21"/>
          <w:szCs w:val="21"/>
          <w:u w:val="single"/>
        </w:rPr>
        <w:t xml:space="preserve">该产品</w:t>
      </w:r>
      <w:r>
        <w:rPr>
          <w:rFonts w:ascii="楷体" w:eastAsia="楷体" w:hAnsi="楷体" w:cs="宋体"/>
          <w:b/>
          <w:spacing w:val="-2"/>
          <w:sz w:val="21"/>
          <w:szCs w:val="21"/>
          <w:u w:val="single"/>
        </w:rPr>
        <w:t xml:space="preserve">通过代理销售机构渠道销售的，理财产品评级应当</w:t>
      </w:r>
      <w:r>
        <w:rPr>
          <w:rFonts w:ascii="楷体" w:eastAsia="楷体" w:hAnsi="楷体" w:cs="宋体" w:hint="eastAsia"/>
          <w:b/>
          <w:spacing w:val="-2"/>
          <w:sz w:val="21"/>
          <w:szCs w:val="21"/>
          <w:u w:val="single"/>
        </w:rPr>
        <w:t xml:space="preserve">以</w:t>
      </w:r>
      <w:r>
        <w:rPr>
          <w:rFonts w:ascii="楷体" w:eastAsia="楷体" w:hAnsi="楷体" w:cs="宋体"/>
          <w:b/>
          <w:spacing w:val="-2"/>
          <w:sz w:val="21"/>
          <w:szCs w:val="21"/>
          <w:u w:val="single"/>
        </w:rPr>
        <w:t xml:space="preserve">代理销售机构最终披露的评级结果为准</w:t>
      </w:r>
      <w:r>
        <w:rPr>
          <w:rFonts w:ascii="楷体" w:eastAsia="楷体" w:hAnsi="楷体" w:cs="宋体" w:hint="eastAsia"/>
          <w:b/>
          <w:spacing w:val="-2"/>
          <w:sz w:val="21"/>
          <w:szCs w:val="21"/>
          <w:u w:val="single"/>
        </w:rPr>
        <w:t xml:space="preserve">。</w:t>
      </w:r>
      <w:r>
        <w:rPr>
          <w:rFonts w:ascii="楷体" w:eastAsia="楷体" w:hAnsi="楷体" w:cs="浠垮畫" w:hint="eastAsia"/>
          <w:kern w:val="0"/>
          <w:sz w:val="21"/>
          <w:szCs w:val="21"/>
        </w:rPr>
        <w:t xml:space="preserve">代销商在销售过程中</w:t>
      </w:r>
      <w:r>
        <w:rPr>
          <w:rFonts w:ascii="楷体" w:eastAsia="楷体" w:hAnsi="楷体" w:cs="浠垮畫"/>
          <w:kern w:val="0"/>
          <w:sz w:val="21"/>
          <w:szCs w:val="21"/>
        </w:rPr>
        <w:t xml:space="preserve">应确保</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投资者的风险承受能力等级不低于本产品风险评级。</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四、理财产品信息披露</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（一）信息披露内容</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1.产品类型、募集信息、产品净值、产品规模、托管安排、投资账户信息；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2.产品投向、投资比例、持仓情况、杠杆水平以及主要投资风险；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3.产品收益分配、各项费用情况；</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4.产品涉及关联交易；</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5.其他影响本产品投资运作的重大事项、临时性信息披露等。</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（二）信息披露频率（适用于公募理财产品）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1.发行公告：管理人在产品成立后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个工作日内，披露产品成立公告，内容包括理财产品成立日期和募集规模等信息。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2.定期公告：管理人在每个季度结束之日起</w:t>
      </w:r>
      <w:r>
        <w:rPr>
          <w:rFonts w:ascii="楷体" w:eastAsia="楷体" w:hAnsi="楷体" w:cs="浠垮畫"/>
          <w:kern w:val="0"/>
          <w:sz w:val="21"/>
          <w:szCs w:val="21"/>
        </w:rPr>
        <w:t xml:space="preserve">15</w:t>
      </w:r>
      <w:r>
        <w:rPr>
          <w:rFonts w:ascii="楷体" w:eastAsia="楷体" w:hAnsi="楷体" w:cs="浠垮畫" w:hint="eastAsia"/>
          <w:kern w:val="0"/>
          <w:sz w:val="21"/>
          <w:szCs w:val="21"/>
        </w:rPr>
        <w:t xml:space="preserve">个工作日内、上半年结束之日起</w:t>
      </w:r>
      <w:r>
        <w:rPr>
          <w:rFonts w:ascii="楷体" w:eastAsia="楷体" w:hAnsi="楷体" w:cs="浠垮畫"/>
          <w:kern w:val="0"/>
          <w:sz w:val="21"/>
          <w:szCs w:val="21"/>
        </w:rPr>
        <w:t xml:space="preserve">60</w:t>
      </w:r>
      <w:r>
        <w:rPr>
          <w:rFonts w:ascii="楷体" w:eastAsia="楷体" w:hAnsi="楷体" w:cs="浠垮畫" w:hint="eastAsia"/>
          <w:kern w:val="0"/>
          <w:sz w:val="21"/>
          <w:szCs w:val="21"/>
        </w:rPr>
        <w:t xml:space="preserve">个工作日内、每年结束之日起</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个工作日内，披露产品季度、半年和年度报告等定期报告；产品成立不足</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个工作日或者剩余存续期不超过</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3.到期公告：管理人在产品终止后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个工作日内，披露产品到期公告，内容包括理财产品的存续期限、终止日期、收费情况和收益分配情况等信息。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4.重大事项公告：管理人在发生可能对理财产品投资者或者理财产品收益产生重大事项的事件后</w:t>
      </w:r>
      <w:r>
        <w:rPr>
          <w:rFonts w:ascii="楷体" w:eastAsia="楷体" w:hAnsi="楷体" w:cs="浠垮畫"/>
          <w:kern w:val="0"/>
          <w:sz w:val="21"/>
          <w:szCs w:val="21"/>
        </w:rPr>
        <w:t xml:space="preserve">2</w:t>
      </w:r>
      <w:r>
        <w:rPr>
          <w:rFonts w:ascii="楷体" w:eastAsia="楷体" w:hAnsi="楷体" w:cs="浠垮畫" w:hint="eastAsia"/>
          <w:kern w:val="0"/>
          <w:sz w:val="21"/>
          <w:szCs w:val="21"/>
        </w:rPr>
        <w:t xml:space="preserve">个工作日内发布重大事项公告。</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5.产品净值披露：开放式公募理财产品将于每个开放日结束后2个工作日内披露开放日的份额净值、份额累计净值、</w:t>
      </w:r>
      <w:r>
        <w:rPr>
          <w:rFonts w:ascii="楷体" w:eastAsia="楷体" w:hAnsi="楷体" w:cs="浠垮畫" w:hint="eastAsia"/>
          <w:kern w:val="0"/>
          <w:sz w:val="21"/>
          <w:szCs w:val="21"/>
          <w:lang w:eastAsia="zh-CN"/>
        </w:rPr>
        <w:t xml:space="preserve">认/申购价格</w:t>
      </w:r>
      <w:r>
        <w:rPr>
          <w:rFonts w:ascii="楷体" w:eastAsia="楷体" w:hAnsi="楷体" w:cs="浠垮畫" w:hint="eastAsia"/>
          <w:kern w:val="0"/>
          <w:sz w:val="21"/>
          <w:szCs w:val="21"/>
        </w:rPr>
        <w:t xml:space="preserve">和赎回价格；封闭式公募理财产品将每周向投资者披露一次产品的资产净值和份额净值。</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6.临时性信息披露：管理人将及时披露国务院银行业监督管理机构规定的其他信息或除重大事项事件以外的其他信息。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7.半年度整体报告：每半年披露从事理财业务活动的有关信息。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（三）信息披露方式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由苏银理财按监管要求和说明书的约定，同时通过以下方式向投资者进行信息披露，披露方式包括：</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1.苏银理财通过苏银理财有限责任公司官方网站（</w:t>
      </w:r>
      <w:r>
        <w:rPr>
          <w:rFonts w:ascii="楷体" w:eastAsia="楷体" w:hAnsi="楷体" w:cs="浠垮畫"/>
          <w:kern w:val="0"/>
          <w:sz w:val="21"/>
          <w:szCs w:val="21"/>
        </w:rPr>
        <w:t xml:space="preserve">www</w:t>
      </w:r>
      <w:r>
        <w:rPr>
          <w:rFonts w:ascii="楷体" w:eastAsia="楷体" w:hAnsi="楷体" w:cs="浠垮畫" w:hint="eastAsia"/>
          <w:kern w:val="0"/>
          <w:sz w:val="21"/>
          <w:szCs w:val="21"/>
          <w:lang w:val="en-US" w:eastAsia="zh-CN"/>
        </w:rPr>
        <w:t xml:space="preserve">.</w:t>
      </w:r>
      <w:r>
        <w:rPr>
          <w:rFonts w:ascii="楷体" w:eastAsia="楷体" w:hAnsi="楷体" w:cs="浠垮畫"/>
          <w:kern w:val="0"/>
          <w:sz w:val="21"/>
          <w:szCs w:val="21"/>
        </w:rPr>
        <w:t xml:space="preserve">suyinwealth</w:t>
      </w:r>
      <w:r>
        <w:rPr>
          <w:rFonts w:ascii="楷体" w:eastAsia="楷体" w:hAnsi="楷体" w:cs="浠垮畫" w:hint="eastAsia"/>
          <w:kern w:val="0"/>
          <w:sz w:val="21"/>
          <w:szCs w:val="21"/>
          <w:lang w:val="en-US" w:eastAsia="zh-CN"/>
        </w:rPr>
        <w:t xml:space="preserve">.</w:t>
      </w:r>
      <w:r>
        <w:rPr>
          <w:rFonts w:ascii="楷体" w:eastAsia="楷体" w:hAnsi="楷体" w:cs="浠垮畫"/>
          <w:kern w:val="0"/>
          <w:sz w:val="21"/>
          <w:szCs w:val="21"/>
        </w:rPr>
        <w:t xml:space="preserve">com</w:t>
      </w:r>
      <w:r>
        <w:rPr>
          <w:rFonts w:ascii="楷体" w:eastAsia="楷体" w:hAnsi="楷体" w:cs="浠垮畫" w:hint="eastAsia"/>
          <w:kern w:val="0"/>
          <w:sz w:val="21"/>
          <w:szCs w:val="21"/>
        </w:rPr>
        <w:t xml:space="preserve">）进行信息披露。</w:t>
      </w:r>
    </w:p>
    <w:p>
      <w:pPr>
        <w:keepNext w:val="0"/>
        <w:keepLines w:val="0"/>
        <w:pageBreakBefore w:val="0"/>
        <w:numPr>
          <w:ilvl w:val="0"/>
          <w:numId w:val="0"/>
        </w:numPr>
        <w:tabs>
          <w:tab w:val="left" w:pos="728"/>
        </w:tabs>
        <w:kinsoku/>
        <w:wordWrap/>
        <w:overflowPunct/>
        <w:topLinePunct w:val="0"/>
        <w:bidi w:val="0"/>
        <w:snapToGrid/>
        <w:spacing w:line="310" w:lineRule="exact"/>
        <w:ind w:firstLine="420" w:firstLineChars="200"/>
        <w:textAlignment w:val="auto"/>
        <w:rPr>
          <w:rFonts w:ascii="楷体" w:eastAsia="楷体" w:hAnsi="楷体" w:cs="Calibri"/>
          <w:sz w:val="21"/>
          <w:szCs w:val="21"/>
        </w:rPr>
      </w:pPr>
      <w:r>
        <w:rPr>
          <w:rFonts w:ascii="楷体" w:eastAsia="楷体" w:hAnsi="楷体" w:cs="浠垮畫" w:hint="eastAsia"/>
          <w:kern w:val="0"/>
          <w:sz w:val="21"/>
          <w:szCs w:val="21"/>
        </w:rPr>
        <w:t xml:space="preserve">2.</w:t>
      </w:r>
      <w:r>
        <w:rPr>
          <w:rFonts w:ascii="楷体" w:eastAsia="楷体" w:hAnsi="楷体" w:cs="Calibri" w:hint="eastAsia"/>
          <w:sz w:val="21"/>
          <w:szCs w:val="21"/>
        </w:rPr>
        <w:t xml:space="preserve">苏银理财将信息披露内容发送</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机构，由</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机构通过</w:t>
      </w:r>
      <w:r>
        <w:rPr>
          <w:rFonts w:ascii="楷体" w:eastAsia="楷体" w:hAnsi="楷体" w:cs="Calibri" w:hint="eastAsia"/>
          <w:sz w:val="21"/>
          <w:szCs w:val="21"/>
          <w:lang w:val="en-US" w:eastAsia="zh-CN"/>
        </w:rPr>
        <w:t xml:space="preserve">短信及代销</w:t>
      </w:r>
      <w:r>
        <w:rPr>
          <w:rFonts w:ascii="楷体" w:eastAsia="楷体" w:hAnsi="楷体" w:cs="Calibri" w:hint="eastAsia"/>
          <w:sz w:val="21"/>
          <w:szCs w:val="21"/>
        </w:rPr>
        <w:t xml:space="preserve">机构电子渠道和营业网点</w:t>
      </w:r>
      <w:r>
        <w:rPr>
          <w:rFonts w:ascii="楷体" w:eastAsia="楷体" w:hAnsi="楷体" w:cs="Calibri" w:hint="eastAsia"/>
          <w:sz w:val="21"/>
          <w:szCs w:val="21"/>
          <w:lang w:val="en-US" w:eastAsia="zh-CN"/>
        </w:rPr>
        <w:t xml:space="preserve">等方式</w:t>
      </w:r>
      <w:r>
        <w:rPr>
          <w:rFonts w:ascii="楷体" w:eastAsia="楷体" w:hAnsi="楷体" w:cs="Calibri" w:hint="eastAsia"/>
          <w:sz w:val="21"/>
          <w:szCs w:val="21"/>
        </w:rPr>
        <w:t xml:space="preserve">进行信息披露。</w:t>
      </w:r>
    </w:p>
    <w:p>
      <w:pPr>
        <w:keepNext w:val="0"/>
        <w:keepLines w:val="0"/>
        <w:pageBreakBefore w:val="0"/>
        <w:kinsoku/>
        <w:wordWrap/>
        <w:overflowPunct/>
        <w:topLinePunct w:val="0"/>
        <w:bidi w:val="0"/>
        <w:snapToGrid/>
        <w:spacing w:line="310" w:lineRule="exact"/>
        <w:ind w:firstLine="420" w:firstLineChars="200"/>
        <w:textAlignment w:val="auto"/>
        <w:rPr>
          <w:rFonts w:ascii="楷体" w:eastAsia="楷体" w:hAnsi="楷体"/>
          <w:sz w:val="21"/>
          <w:szCs w:val="21"/>
        </w:rPr>
      </w:pPr>
      <w:r>
        <w:rPr>
          <w:rFonts w:ascii="楷体" w:eastAsia="楷体" w:hAnsi="楷体" w:hint="eastAsia"/>
          <w:sz w:val="21"/>
          <w:szCs w:val="21"/>
        </w:rPr>
        <w:t xml:space="preserve">相关信息在发布或发出之日视为通知已送达投资者并生效，请您及时登陆苏银理财有限责任</w:t>
      </w:r>
      <w:r>
        <w:rPr>
          <w:rFonts w:ascii="楷体" w:eastAsia="楷体" w:hAnsi="楷体" w:hint="eastAsia"/>
          <w:sz w:val="21"/>
          <w:szCs w:val="21"/>
          <w:lang w:val="en-US" w:eastAsia="zh-CN"/>
        </w:rPr>
        <w:t xml:space="preserve">公司</w:t>
      </w:r>
      <w:r>
        <w:rPr>
          <w:rFonts w:ascii="楷体" w:eastAsia="楷体" w:hAnsi="楷体" w:hint="eastAsia"/>
          <w:sz w:val="21"/>
          <w:szCs w:val="21"/>
        </w:rPr>
        <w:t xml:space="preserve">官方网站或者向</w:t>
      </w:r>
      <w:r>
        <w:rPr>
          <w:rFonts w:ascii="楷体" w:eastAsia="楷体" w:hAnsi="楷体" w:hint="eastAsia"/>
          <w:sz w:val="21"/>
          <w:szCs w:val="21"/>
          <w:lang w:val="en-US" w:eastAsia="zh-CN"/>
        </w:rPr>
        <w:t xml:space="preserve">代销</w:t>
      </w:r>
      <w:r>
        <w:rPr>
          <w:rFonts w:ascii="楷体" w:eastAsia="楷体" w:hAnsi="楷体" w:hint="eastAsia"/>
          <w:sz w:val="21"/>
          <w:szCs w:val="21"/>
        </w:rPr>
        <w:t xml:space="preserve">机构查询获取披露信息。</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五、投资者对理财产品的投诉方式和程序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（一）投诉方式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如认为代销机构推介、销售产品时有不实或未尽风险告知职责或其它疑义事项，或对代销机构服务有任何意见或建议，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可通过拨打代销机构客服</w:t>
      </w:r>
      <w:r>
        <w:rPr>
          <w:rFonts w:ascii="楷体" w:eastAsia="楷体" w:hAnsi="楷体" w:cs="浠垮畫" w:hint="eastAsia"/>
          <w:kern w:val="0"/>
          <w:sz w:val="21"/>
          <w:szCs w:val="21"/>
        </w:rPr>
        <w:t xml:space="preserve">电话</w:t>
      </w:r>
      <w:r>
        <w:rPr>
          <w:rFonts w:ascii="楷体" w:eastAsia="楷体" w:hAnsi="楷体" w:cs="浠垮畫"/>
          <w:kern w:val="0"/>
          <w:sz w:val="21"/>
          <w:szCs w:val="21"/>
        </w:rPr>
        <w:t xml:space="preserve">进行反馈。代销机构将由专人接听、记录您的意见或建议，并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您如认为对理财产品设计、投资管理、风险控制、信息披露等事项有任何</w:t>
      </w:r>
      <w:r>
        <w:rPr>
          <w:rFonts w:ascii="楷体" w:eastAsia="楷体" w:hAnsi="楷体" w:cs="浠垮畫"/>
          <w:kern w:val="0"/>
          <w:sz w:val="21"/>
          <w:szCs w:val="21"/>
        </w:rPr>
        <w:t xml:space="preserve">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可通过管理人客服</w:t>
      </w:r>
      <w:r>
        <w:rPr>
          <w:rFonts w:ascii="楷体" w:eastAsia="楷体" w:hAnsi="楷体" w:cs="浠垮畫" w:hint="eastAsia"/>
          <w:kern w:val="0"/>
          <w:sz w:val="21"/>
          <w:szCs w:val="21"/>
        </w:rPr>
        <w:t xml:space="preserve">电话或电子邮箱</w:t>
      </w:r>
      <w:r>
        <w:rPr>
          <w:rFonts w:ascii="楷体" w:eastAsia="楷体" w:hAnsi="楷体" w:cs="浠垮畫"/>
          <w:kern w:val="0"/>
          <w:sz w:val="21"/>
          <w:szCs w:val="21"/>
        </w:rPr>
        <w:t xml:space="preserve">进行反馈。产品管理人将由专人接听、记录您的意见或建议，并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（二）投诉处理流程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1.苏银理财投诉处理流程</w:t>
      </w:r>
    </w:p>
    <w:p>
      <w:pPr>
        <w:autoSpaceDE w:val="0"/>
        <w:autoSpaceDN w:val="0"/>
        <w:adjustRightInd w:val="0"/>
        <w:jc w:val="center"/>
        <w:rPr>
          <w:rFonts w:ascii="楷体" w:eastAsia="楷体" w:hAnsi="楷体" w:cs="浠垮畫" w:hint="eastAsia"/>
          <w:kern w:val="0"/>
          <w:sz w:val="21"/>
          <w:szCs w:val="21"/>
        </w:rPr>
      </w:pPr>
      <w:r>
        <w:rPr>
          <w:sz w:val="21"/>
          <w:szCs w:val="21"/>
        </w:rPr>
        <w:object>
          <v:shape id="_x0000_i1025" o:spid="_x0000_i1534" type="#_x0000_t75" style="height:243.65pt;width:249.9pt" o:oleicon="f" o:ole="" o:bordertopcolor="this" o:borderleftcolor="this" o:borderbottomcolor="this" o:borderrightcolor="this" coordsize="21600,21600" o:preferrelative="t" filled="f" stroked="f">
            <v:imagedata r:id="rId4" o:title=""/>
            <o:lock v:ext="edit" aspectratio="t"/>
            <w10:anchorlock/>
          </v:shape>
          <o:OLEObject Type="Embed" ProgID="Visio.Drawing.11" ShapeID="_x0000_i1025" DrawAspect="Content" ObjectID="_2137491580" r:id="rId5"/>
        </w:objec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w:t>
      </w:r>
      <w:r>
        <w:rPr>
          <w:rFonts w:ascii="楷体" w:eastAsia="楷体" w:hAnsi="楷体" w:cs="浠垮畫"/>
          <w:kern w:val="0"/>
          <w:sz w:val="21"/>
          <w:szCs w:val="21"/>
        </w:rPr>
        <w:t xml:space="preserve">代销机构</w:t>
      </w:r>
      <w:r>
        <w:rPr>
          <w:rFonts w:ascii="楷体" w:eastAsia="楷体" w:hAnsi="楷体" w:cs="浠垮畫" w:hint="eastAsia"/>
          <w:kern w:val="0"/>
          <w:sz w:val="21"/>
          <w:szCs w:val="21"/>
        </w:rPr>
        <w:t xml:space="preserve">投诉处理流程见</w:t>
      </w:r>
      <w:r>
        <w:rPr>
          <w:rFonts w:ascii="楷体" w:eastAsia="楷体" w:hAnsi="楷体" w:cs="浠垮畫"/>
          <w:kern w:val="0"/>
          <w:sz w:val="21"/>
          <w:szCs w:val="21"/>
        </w:rPr>
        <w:t xml:space="preserve">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六、联络方式</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（一）苏银理财有限责任公司</w:t>
      </w:r>
    </w:p>
    <w:p>
      <w:pPr>
        <w:keepNext w:val="0"/>
        <w:keepLines w:val="0"/>
        <w:pageBreakBefore w:val="0"/>
        <w:widowControl w:val="0"/>
        <w:tabs>
          <w:tab w:val="right" w:pos="8306"/>
        </w:tabs>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1.官方网站：www.suyinwealth.com</w:t>
      </w:r>
      <w:r>
        <w:rPr>
          <w:rFonts w:ascii="楷体" w:eastAsia="楷体" w:hAnsi="楷体" w:cs="浠垮畫"/>
          <w:kern w:val="0"/>
          <w:sz w:val="21"/>
          <w:szCs w:val="21"/>
        </w:rPr>
        <w:tab/>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2.电子邮箱：service@suyinwealth.com</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3.客户服务热线：95319</w:t>
      </w:r>
      <w:r>
        <w:rPr>
          <w:rFonts w:ascii="楷体" w:eastAsia="楷体" w:hAnsi="楷体" w:cs="浠垮畫" w:hint="eastAsia"/>
          <w:kern w:val="0"/>
          <w:sz w:val="21"/>
          <w:szCs w:val="21"/>
          <w:lang w:val="en-US" w:eastAsia="zh-CN"/>
        </w:rPr>
        <w:t xml:space="preserve">-8-2</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default"/>
          <w:kern w:val="0"/>
          <w:sz w:val="21"/>
          <w:szCs w:val="21"/>
          <w:lang w:val="en-US" w:eastAsia="zh-CN"/>
        </w:rPr>
      </w:pPr>
      <w:r>
        <w:rPr>
          <w:rFonts w:ascii="楷体" w:eastAsia="楷体" w:hAnsi="楷体" w:cs="浠垮畫" w:hint="default"/>
          <w:kern w:val="0"/>
          <w:sz w:val="21"/>
          <w:szCs w:val="21"/>
          <w:lang w:val="en-US" w:eastAsia="zh-CN"/>
        </w:rPr>
        <w:t xml:space="preserve">4.地址：南京市建邺区江山大街70号国际博览中心三期B幢11-13层</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若上述联系方式变更，苏银理财将提前发布公告及时告知投资者。</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b/>
          <w:kern w:val="0"/>
          <w:sz w:val="21"/>
          <w:szCs w:val="21"/>
        </w:rPr>
      </w:pPr>
      <w:r>
        <w:rPr>
          <w:rFonts w:ascii="楷体" w:eastAsia="楷体" w:hAnsi="楷体" w:cs="浠垮畫"/>
          <w:kern w:val="0"/>
          <w:sz w:val="21"/>
          <w:szCs w:val="21"/>
        </w:rPr>
        <w:t xml:space="preserve">（二）代销机构联络方式详见代销机构提供的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u w:val="single"/>
        </w:rPr>
      </w:pPr>
      <w:r>
        <w:rPr>
          <w:rFonts w:ascii="楷体" w:eastAsia="楷体" w:hAnsi="楷体" w:cs="浠垮畫" w:hint="eastAsia"/>
          <w:b/>
          <w:kern w:val="0"/>
          <w:sz w:val="21"/>
          <w:szCs w:val="21"/>
          <w:u w:val="single"/>
        </w:rPr>
        <w:t xml:space="preserve">声明：本人/本机构知悉本理财产品合同由对应的《理财产品说明书》、《风险揭示书》、《投资者权益须知》、《理财产品投资协议书》及《</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等销售文件后，划款时无需通过任何方式与本人/本机构进行最后确认，可以直接划款。</w:t>
      </w:r>
    </w:p>
    <w:p>
      <w:pPr>
        <w:rPr>
          <w:rFonts w:ascii="楷体" w:eastAsia="楷体" w:hAnsi="楷体" w:hint="eastAsia"/>
          <w:sz w:val="21"/>
          <w:szCs w:val="21"/>
        </w:rPr>
      </w:pPr>
    </w:p>
    <w:p>
      <w:pPr>
        <w:ind w:firstLine="420" w:firstLineChars="200"/>
        <w:rPr>
          <w:rFonts w:ascii="楷体" w:eastAsia="楷体" w:hAnsi="楷体" w:hint="eastAsia"/>
          <w:sz w:val="21"/>
          <w:szCs w:val="21"/>
        </w:rPr>
      </w:pPr>
    </w:p>
    <w:sectPr>
      <w:headerReference w:type="even" r:id="rId6"/>
      <w:headerReference w:type="default" r:id="rId7"/>
      <w:headerReference w:type="first" r:id="rId8"/>
      <w:footerReference w:type="default" r:id="rId9"/>
      <w:pgSz w:w="11906" w:h="16838" w:orient="portrait"/>
      <w:pgMar w:top="1440" w:right="1134" w:bottom="1440" w:left="1134" w:header="851" w:footer="992" w:gutter="0"/>
      <w:cols w:num="1" w:space="0">
        <w:col w:w="9638"/>
      </w:cols>
      <w:rtlGutter w:val="0"/>
      <w:docGrid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34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17"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rFonts w:ascii="楷体" w:eastAsia="楷体" w:hAnsi="楷体"/>
        <w:b/>
      </w:rPr>
      <w:drawing>
        <wp:anchor distT="0" distB="0" distL="114300" distR="114300" simplePos="0" relativeHeight="251661312" behindDoc="1" locked="0" layoutInCell="0" allowOverlap="1">
          <wp:simplePos x="0" y="0"/>
          <wp:positionH relativeFrom="margin">
            <wp:posOffset>-4171950</wp:posOffset>
          </wp:positionH>
          <wp:positionV relativeFrom="margin">
            <wp:posOffset>-1054735</wp:posOffset>
          </wp:positionV>
          <wp:extent cx="14449425" cy="10958195"/>
          <wp:effectExtent l="0" t="0" r="9525" b="14605"/>
          <wp:wrapNone/>
          <wp:docPr id="318"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a:xfrm>
                    <a:off x="0" y="0"/>
                    <a:ext cx="1444942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5026660</wp:posOffset>
          </wp:positionH>
          <wp:positionV relativeFrom="paragraph">
            <wp:posOffset>-124460</wp:posOffset>
          </wp:positionV>
          <wp:extent cx="1325245" cy="424815"/>
          <wp:effectExtent l="0" t="0" r="8255" b="3810"/>
          <wp:wrapSquare wrapText="bothSides"/>
          <wp:docPr id="319"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20"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1"/>
      <w:numFmt w:val="chineseCounting"/>
      <w:suff w:val="space"/>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30"/>
  <w:bordersDoNotSurroundFooter w:val="0"/>
  <w:bordersDoNotSurroundHeader w:val="0"/>
  <w:doNotTrackMoves/>
  <w:defaultTabStop w:val="420"/>
  <w:drawingGridHorizontalSpacing w:val="21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semiHidden="0"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hAnsi="Times New Roman"/>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hAnsi="Times New Roman"/>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pPr>
      <w:keepNext w:val="0"/>
      <w:keepLines w:val="0"/>
      <w:widowControl/>
      <w:suppressLineNumbers w:val="0"/>
      <w:spacing w:before="0" w:beforeAutospacing="0" w:after="0" w:afterAutospacing="0"/>
      <w:ind w:left="0" w:right="0"/>
    </w:pPr>
    <w:rPr>
      <w:rFonts w:ascii="Calibri" w:hAnsi="Calibri" w:cs="Times New Roman" w:hint="default"/>
      <w:sz w:val="20"/>
      <w:szCs w:val="20"/>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hAnsi="Times New Roman"/>
      <w:kern w:val="0"/>
      <w:sz w:val="20"/>
      <w:szCs w:val="21"/>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uiPriority w:val="99"/>
    <w:unhideWhenUsed/>
    <w:qFormat/>
    <w:pPr>
      <w:snapToGrid w:val="0"/>
      <w:jc w:val="left"/>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nnotationsubject">
    <w:name w:val="annotation subject"/>
    <w:basedOn w:val="annotationtext"/>
    <w:uiPriority w:val="99"/>
    <w:unhideWhenUsed/>
    <w:qFormat/>
    <w:rPr>
      <w:b/>
      <w:bCs/>
    </w:rPr>
  </w:style>
  <w:style w:type="table" w:styleId="TableGrid">
    <w:name w:val="Table Grid"/>
    <w:basedOn w:val="TableNormal"/>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styleId="FootnoteReference">
    <w:name w:val="Footnote Reference"/>
    <w:uiPriority w:val="99"/>
    <w:unhideWhenUsed/>
    <w:qFormat/>
    <w:rPr>
      <w:vertAlign w:val="superscript"/>
    </w:rPr>
  </w:style>
  <w:style w:type="character" w:customStyle="1" w:styleId="脚注文本字符1">
    <w:name w:val="脚注文本 字符1"/>
    <w:link w:val="脚注文本字符1"/>
    <w:uiPriority w:val="99"/>
    <w:semiHidden/>
    <w:qFormat/>
    <w:rPr>
      <w:kern w:val="2"/>
      <w:sz w:val="18"/>
      <w:szCs w:val="18"/>
    </w:rPr>
  </w:style>
  <w:style w:type="character" w:customStyle="1" w:styleId="正文文本字符">
    <w:name w:val="正文文本 字符"/>
    <w:uiPriority w:val="1"/>
    <w:qFormat/>
    <w:rPr>
      <w:rFonts w:ascii="宋体" w:eastAsia="宋体" w:hAnsi="Times New Roman" w:cs="宋体"/>
      <w:kern w:val="0"/>
      <w:szCs w:val="21"/>
    </w:rPr>
  </w:style>
  <w:style w:type="character" w:customStyle="1" w:styleId="脚注文本字符">
    <w:name w:val="脚注文本 字符"/>
    <w:uiPriority w:val="99"/>
    <w:semiHidden/>
    <w:qFormat/>
    <w:rPr>
      <w:kern w:val="2"/>
      <w:sz w:val="18"/>
      <w:szCs w:val="18"/>
    </w:rPr>
  </w:style>
  <w:style w:type="character" w:customStyle="1" w:styleId="批注主题字符">
    <w:name w:val="批注主题 字符"/>
    <w:uiPriority w:val="99"/>
    <w:semiHidden/>
    <w:qFormat/>
    <w:rPr>
      <w:b/>
      <w:bCs/>
      <w:kern w:val="2"/>
      <w:sz w:val="21"/>
      <w:szCs w:val="22"/>
    </w:rPr>
  </w:style>
  <w:style w:type="character" w:customStyle="1" w:styleId="批注框文本字符">
    <w:name w:val="批注框文本 字符"/>
    <w:uiPriority w:val="99"/>
    <w:semiHidden/>
    <w:qFormat/>
    <w:rPr>
      <w:sz w:val="18"/>
      <w:szCs w:val="18"/>
    </w:rPr>
  </w:style>
  <w:style w:type="character" w:customStyle="1" w:styleId="页眉字符">
    <w:name w:val="页眉 字符"/>
    <w:link w:val="脚注文本字符"/>
    <w:uiPriority w:val="99"/>
    <w:qFormat/>
    <w:rPr>
      <w:sz w:val="18"/>
      <w:szCs w:val="18"/>
    </w:rPr>
  </w:style>
  <w:style w:type="character" w:customStyle="1" w:styleId="页脚字符">
    <w:name w:val="页脚 字符"/>
    <w:link w:val="批注主题字符"/>
    <w:uiPriority w:val="99"/>
    <w:qFormat/>
    <w:rPr>
      <w:sz w:val="18"/>
      <w:szCs w:val="18"/>
    </w:rPr>
  </w:style>
  <w:style w:type="character" w:customStyle="1" w:styleId="日期字符">
    <w:name w:val="日期 字符"/>
    <w:basedOn w:val="DefaultParagraphFont"/>
    <w:uiPriority w:val="99"/>
    <w:semiHidden/>
    <w:qFormat/>
    <w:rPr/>
  </w:style>
  <w:style w:type="character" w:customStyle="1" w:styleId="批注文字字符">
    <w:name w:val="批注文字 字符"/>
    <w:uiPriority w:val="99"/>
    <w:qFormat/>
    <w:rPr>
      <w:kern w:val="2"/>
      <w:sz w:val="21"/>
      <w:szCs w:val="22"/>
    </w:rPr>
  </w:style>
  <w:style w:type="character" w:customStyle="1" w:styleId="标题3字符">
    <w:name w:val="标题 3 字符"/>
    <w:link w:val="Heading3"/>
    <w:uiPriority w:val="1"/>
    <w:qFormat/>
    <w:rPr>
      <w:rFonts w:ascii="宋体" w:eastAsia="宋体" w:hAnsi="Times New Roman" w:cs="宋体"/>
      <w:b/>
      <w:bCs/>
      <w:kern w:val="0"/>
      <w:szCs w:val="21"/>
    </w:rPr>
  </w:style>
  <w:style w:type="character" w:customStyle="1" w:styleId="标题1字符">
    <w:name w:val="标题 1 字符"/>
    <w:link w:val="Heading1"/>
    <w:uiPriority w:val="1"/>
    <w:qFormat/>
    <w:rPr>
      <w:rFonts w:ascii="黑体" w:eastAsia="黑体" w:hAnsi="Times New Roman" w:cs="黑体"/>
      <w:b/>
      <w:bCs/>
      <w:kern w:val="0"/>
      <w:sz w:val="36"/>
      <w:szCs w:val="36"/>
    </w:rPr>
  </w:style>
  <w:style w:type="character" w:customStyle="1" w:styleId="标题2字符">
    <w:name w:val="标题 2 字符"/>
    <w:link w:val="Heading2"/>
    <w:uiPriority w:val="9"/>
    <w:qFormat/>
    <w:rPr>
      <w:rFonts w:ascii="Cambria" w:eastAsia="宋体" w:hAnsi="Cambria" w:cs="Times New Roman"/>
      <w:b/>
      <w:bCs/>
      <w:sz w:val="32"/>
      <w:szCs w:val="32"/>
    </w:rPr>
  </w:style>
  <w:style w:type="paragraph" w:styleId="ListParagraph">
    <w:name w:val="List Paragraph"/>
    <w:basedOn w:val="Normal"/>
    <w:uiPriority w:val="72"/>
    <w:qFormat/>
    <w:pPr>
      <w:ind w:firstLine="420" w:firstLineChars="200"/>
    </w:pPr>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customStyle="1" w:styleId="TableParagraph">
    <w:name w:val="Table Paragraph"/>
    <w:basedOn w:val="Normal"/>
    <w:uiPriority w:val="1"/>
    <w:qFormat/>
    <w:pPr>
      <w:autoSpaceDE w:val="0"/>
      <w:autoSpaceDN w:val="0"/>
      <w:adjustRightInd w:val="0"/>
      <w:jc w:val="left"/>
    </w:pPr>
    <w:rPr>
      <w:rFonts w:ascii="Times New Roman" w:hAnsi="Times New Roman" w:cs="Times New Roman"/>
      <w:kern w:val="0"/>
      <w:sz w:val="24"/>
      <w:szCs w:val="24"/>
    </w:rPr>
  </w:style>
  <w:style w:type="paragraph" w:customStyle="1" w:styleId="_Style35">
    <w:name w:val="_Style 35"/>
    <w:uiPriority w:val="99"/>
    <w:semiHidden/>
    <w:qFormat/>
    <w:rPr>
      <w:rFonts w:ascii="Times New Roman" w:eastAsia="宋体" w:hAnsi="Times New Roman" w:cs="Times New Roman"/>
      <w:kern w:val="2"/>
      <w:sz w:val="21"/>
      <w:szCs w:val="22"/>
      <w:lang w:val="en-US" w:eastAsia="zh-CN" w:bidi="ar-SA"/>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theme" Target="theme/theme1.xml" /><Relationship Id="rId11" Type="http://schemas.openxmlformats.org/officeDocument/2006/relationships/styles" Target="styles.xml" /><Relationship Id="rId12" Type="http://schemas.openxmlformats.org/officeDocument/2006/relationships/webSettings" Target="webSettings.xml" /><Relationship Id="rId13" Type="http://schemas.openxmlformats.org/officeDocument/2006/relationships/numbering" Target="numbering.xml" /><Relationship Id="rId14" Type="http://schemas.openxmlformats.org/officeDocument/2006/relationships/fontTable" Target="fontTable.xml" /><Relationship Id="rId15"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image" Target="media/image1.emf" /><Relationship Id="rId5" Type="http://schemas.openxmlformats.org/officeDocument/2006/relationships/oleObject" Target="embeddings/oleObject1.bin"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1.xml" /></Relationships>
</file>

<file path=word/_rels/header1.xml.rels>&#65279;<?xml version="1.0" encoding="utf-8"?><Relationships xmlns="http://schemas.openxmlformats.org/package/2006/relationships"><Relationship Id="rId1" Type="http://schemas.openxmlformats.org/officeDocument/2006/relationships/image" Target="media/image2.png" /></Relationships>
</file>

<file path=word/_rels/header2.xml.rels>&#65279;<?xml version="1.0" encoding="utf-8"?><Relationships xmlns="http://schemas.openxmlformats.org/package/2006/relationships"><Relationship Id="rId1" Type="http://schemas.openxmlformats.org/officeDocument/2006/relationships/image" Target="media/image3.jpeg" /><Relationship Id="rId2" Type="http://schemas.openxmlformats.org/officeDocument/2006/relationships/image" Target="media/image4.png" /></Relationships>
</file>

<file path=word/_rels/header3.xml.rels>&#65279;<?xml version="1.0" encoding="utf-8"?><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2020-12-23T08:08:00Z</dcterms:created>
  <dc:creator>JSYH</dc:creator>
  <cp:lastModifiedBy>sylc</cp:lastModifiedBy>
  <cp:lastPrinted>2026-07-08T03:07:00Z</cp:lastPrinted>
  <dcterms:modified xsi:type="dcterms:W3CDTF">2026-07-13T07:46:38Z</dcterms:modified>
  <cp:revision>3</cp:revision>
</cp:coreProperties>
</file>

<file path=customXml/item2.xml><?xml version="1.0" encoding="utf-8"?>
<Properties xmlns="http://schemas.openxmlformats.org/officeDocument/2006/extended-properties" xmlns:vt="http://schemas.openxmlformats.org/officeDocument/2006/docPropsVTypes">
  <Template>Normal</Template>
  <Company>Microsoft</Company>
  <Pages>4</Pages>
  <Words>4125</Words>
  <Characters>4276</Characters>
  <Lines>26</Lines>
  <Paragraphs>7</Paragraphs>
  <TotalTime>3</TotalTime>
  <ScaleCrop>false</ScaleCrop>
  <LinksUpToDate>false</LinksUpToDate>
  <CharactersWithSpaces>4287</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37E062FBF20D4AB69A351A39742709D9</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3</TotalTime>
  <Pages>4</Pages>
  <Words>4125</Words>
  <Characters>4276</Characters>
  <Application>WPS Office_11.8.2.11734_F1E327BC-269C-435d-A152-05C5408002CA</Application>
  <DocSecurity>0</DocSecurity>
  <Lines>26</Lines>
  <Paragraphs>7</Paragraphs>
  <Company>Microsoft</Company>
  <CharactersWithSpaces>4287</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sylc</cp:lastModifiedBy>
  <cp:revision>3</cp:revision>
  <cp:lastPrinted>2026-07-08T03:07:00Z</cp:lastPrinted>
  <dcterms:created xsi:type="dcterms:W3CDTF">2020-12-23T08:08:00Z</dcterms:created>
  <dcterms:modified xsi:type="dcterms:W3CDTF">2026-07-16T02:05:42Z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37E062FBF20D4AB69A351A39742709D9</vt:lpstr>
  </property>
</Properties>
</file>